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34E" w:rsidRPr="001A445D" w:rsidRDefault="001A445D" w:rsidP="001A44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FF0000"/>
          <w:sz w:val="36"/>
          <w:szCs w:val="36"/>
        </w:rPr>
      </w:pPr>
      <w:bookmarkStart w:id="0" w:name="_GoBack"/>
      <w:bookmarkEnd w:id="0"/>
      <w:r w:rsidRPr="001A445D">
        <w:rPr>
          <w:rFonts w:ascii="Arial" w:hAnsi="Arial" w:cs="Arial"/>
          <w:b/>
          <w:color w:val="FF0000"/>
          <w:sz w:val="36"/>
          <w:szCs w:val="36"/>
        </w:rPr>
        <w:t>LEGGE 20 maggio 1970, n. 300 (Statuto dei lavoratori)</w:t>
      </w:r>
    </w:p>
    <w:p w:rsidR="001A445D" w:rsidRDefault="001A445D">
      <w:pPr>
        <w:rPr>
          <w:rFonts w:ascii="Arial" w:hAnsi="Arial" w:cs="Arial"/>
          <w:sz w:val="24"/>
          <w:szCs w:val="24"/>
        </w:rPr>
      </w:pPr>
    </w:p>
    <w:p w:rsidR="001A445D" w:rsidRPr="001A445D" w:rsidRDefault="001A445D" w:rsidP="00832E2F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1A445D">
        <w:rPr>
          <w:rFonts w:ascii="Arial" w:hAnsi="Arial" w:cs="Arial"/>
          <w:sz w:val="24"/>
          <w:szCs w:val="24"/>
        </w:rPr>
        <w:t>Oggi fortemente sotto attacco (si parla spesso della sua modifica in “Statuto dei lavori”), contiene importanti norme sulla tutela della libertà e dignità dei lavoratori, della libertà sindacale e dell’attività sindacale nei luoghi di lavoro e norme sul collocamento.</w:t>
      </w:r>
    </w:p>
    <w:p w:rsidR="001A445D" w:rsidRDefault="001A445D" w:rsidP="00832E2F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:rsidR="001A445D" w:rsidRPr="00AA155C" w:rsidRDefault="001A445D" w:rsidP="00832E2F">
      <w:pPr>
        <w:pStyle w:val="Nessunaspaziatura"/>
        <w:jc w:val="both"/>
        <w:rPr>
          <w:rFonts w:ascii="Arial" w:hAnsi="Arial" w:cs="Arial"/>
          <w:b/>
          <w:sz w:val="24"/>
          <w:szCs w:val="24"/>
        </w:rPr>
      </w:pPr>
      <w:r w:rsidRPr="00AA155C">
        <w:rPr>
          <w:rFonts w:ascii="Arial" w:hAnsi="Arial" w:cs="Arial"/>
          <w:b/>
          <w:sz w:val="24"/>
          <w:szCs w:val="24"/>
        </w:rPr>
        <w:t xml:space="preserve">Si divide in </w:t>
      </w:r>
      <w:r w:rsidRPr="000D5F66">
        <w:rPr>
          <w:rFonts w:ascii="Arial" w:hAnsi="Arial" w:cs="Arial"/>
          <w:b/>
          <w:color w:val="FF0000"/>
          <w:sz w:val="24"/>
          <w:szCs w:val="24"/>
        </w:rPr>
        <w:t>6 titoli</w:t>
      </w:r>
    </w:p>
    <w:p w:rsidR="001A445D" w:rsidRDefault="001A445D" w:rsidP="00832E2F">
      <w:pPr>
        <w:pStyle w:val="Nessunaspaziatura"/>
        <w:jc w:val="both"/>
        <w:rPr>
          <w:rFonts w:ascii="Arial" w:hAnsi="Arial" w:cs="Arial"/>
          <w:b/>
          <w:sz w:val="24"/>
          <w:szCs w:val="24"/>
        </w:rPr>
      </w:pPr>
    </w:p>
    <w:p w:rsidR="00BA5194" w:rsidRDefault="00BA5194" w:rsidP="00832E2F">
      <w:pPr>
        <w:pStyle w:val="Nessunaspaziatura"/>
        <w:jc w:val="both"/>
        <w:rPr>
          <w:rFonts w:ascii="Arial" w:hAnsi="Arial" w:cs="Arial"/>
          <w:b/>
          <w:sz w:val="24"/>
          <w:szCs w:val="24"/>
        </w:rPr>
      </w:pPr>
    </w:p>
    <w:p w:rsidR="001A445D" w:rsidRPr="00AA155C" w:rsidRDefault="001A445D" w:rsidP="00832E2F">
      <w:pPr>
        <w:pStyle w:val="Nessunaspaziatura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A155C">
        <w:rPr>
          <w:rFonts w:ascii="Arial" w:hAnsi="Arial" w:cs="Arial"/>
          <w:b/>
          <w:sz w:val="24"/>
          <w:szCs w:val="24"/>
          <w:u w:val="single"/>
        </w:rPr>
        <w:t xml:space="preserve">Titolo  </w:t>
      </w:r>
      <w:r w:rsidR="00BA5194">
        <w:rPr>
          <w:rFonts w:ascii="Arial" w:hAnsi="Arial" w:cs="Arial"/>
          <w:b/>
          <w:sz w:val="24"/>
          <w:szCs w:val="24"/>
          <w:u w:val="single"/>
        </w:rPr>
        <w:t>I</w:t>
      </w:r>
      <w:r w:rsidRPr="00AA155C">
        <w:rPr>
          <w:rFonts w:ascii="Arial" w:hAnsi="Arial" w:cs="Arial"/>
          <w:b/>
          <w:sz w:val="24"/>
          <w:szCs w:val="24"/>
          <w:u w:val="single"/>
        </w:rPr>
        <w:t xml:space="preserve"> – </w:t>
      </w:r>
      <w:r w:rsidRPr="000D5F66">
        <w:rPr>
          <w:rFonts w:ascii="Arial" w:hAnsi="Arial" w:cs="Arial"/>
          <w:b/>
          <w:color w:val="FF0000"/>
          <w:sz w:val="24"/>
          <w:szCs w:val="24"/>
          <w:u w:val="single"/>
        </w:rPr>
        <w:t>Della libertà e dignità del lavoratore</w:t>
      </w:r>
    </w:p>
    <w:p w:rsidR="00832E2F" w:rsidRDefault="00832E2F" w:rsidP="00832E2F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:rsidR="001A445D" w:rsidRPr="001A445D" w:rsidRDefault="001A445D" w:rsidP="00832E2F">
      <w:pPr>
        <w:pStyle w:val="Nessunaspaziatur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A445D">
        <w:rPr>
          <w:rFonts w:ascii="Arial" w:hAnsi="Arial" w:cs="Arial"/>
          <w:sz w:val="24"/>
          <w:szCs w:val="24"/>
        </w:rPr>
        <w:t>Art. 1 – Libertà di opinione</w:t>
      </w:r>
    </w:p>
    <w:p w:rsidR="00171806" w:rsidRDefault="00171806" w:rsidP="00832E2F">
      <w:pPr>
        <w:pStyle w:val="Nessunaspaziatur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2 – Guardie giurate</w:t>
      </w:r>
    </w:p>
    <w:p w:rsidR="00171806" w:rsidRDefault="00171806" w:rsidP="00832E2F">
      <w:pPr>
        <w:pStyle w:val="Nessunaspaziatur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3 – Personale di vigilanza</w:t>
      </w:r>
    </w:p>
    <w:p w:rsidR="001A445D" w:rsidRDefault="001A445D" w:rsidP="00832E2F">
      <w:pPr>
        <w:pStyle w:val="Nessunaspaziatur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71806">
        <w:rPr>
          <w:rFonts w:ascii="Arial" w:hAnsi="Arial" w:cs="Arial"/>
          <w:b/>
          <w:sz w:val="24"/>
          <w:szCs w:val="24"/>
        </w:rPr>
        <w:t>Art. 4</w:t>
      </w:r>
      <w:r>
        <w:rPr>
          <w:rFonts w:ascii="Arial" w:hAnsi="Arial" w:cs="Arial"/>
          <w:sz w:val="24"/>
          <w:szCs w:val="24"/>
        </w:rPr>
        <w:t xml:space="preserve"> – Impianti audiovisivi </w:t>
      </w:r>
      <w:r w:rsidRPr="001A445D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</w:t>
      </w:r>
      <w:r w:rsidRPr="000D5F66">
        <w:rPr>
          <w:rFonts w:ascii="Arial" w:hAnsi="Arial" w:cs="Arial"/>
          <w:b/>
          <w:color w:val="FF0000"/>
          <w:sz w:val="24"/>
          <w:szCs w:val="24"/>
        </w:rPr>
        <w:t>controllo a distanza</w:t>
      </w:r>
    </w:p>
    <w:p w:rsidR="001A445D" w:rsidRDefault="001A445D" w:rsidP="00832E2F">
      <w:pPr>
        <w:pStyle w:val="Nessunaspaziatur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5 – Accertamenti sanitari</w:t>
      </w:r>
    </w:p>
    <w:p w:rsidR="001A445D" w:rsidRDefault="001A445D" w:rsidP="00832E2F">
      <w:pPr>
        <w:pStyle w:val="Nessunaspaziatur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6 – Visite personali di controllo</w:t>
      </w:r>
    </w:p>
    <w:p w:rsidR="001A445D" w:rsidRPr="000D5F66" w:rsidRDefault="001A445D" w:rsidP="00832E2F">
      <w:pPr>
        <w:pStyle w:val="Nessunaspaziatura"/>
        <w:numPr>
          <w:ilvl w:val="0"/>
          <w:numId w:val="1"/>
        </w:numPr>
        <w:jc w:val="both"/>
        <w:rPr>
          <w:rFonts w:ascii="Arial" w:hAnsi="Arial" w:cs="Arial"/>
          <w:color w:val="FF0000"/>
          <w:sz w:val="24"/>
          <w:szCs w:val="24"/>
        </w:rPr>
      </w:pPr>
      <w:r w:rsidRPr="00171806">
        <w:rPr>
          <w:rFonts w:ascii="Arial" w:hAnsi="Arial" w:cs="Arial"/>
          <w:b/>
          <w:sz w:val="24"/>
          <w:szCs w:val="24"/>
        </w:rPr>
        <w:t>Art. 7</w:t>
      </w:r>
      <w:r>
        <w:rPr>
          <w:rFonts w:ascii="Arial" w:hAnsi="Arial" w:cs="Arial"/>
          <w:sz w:val="24"/>
          <w:szCs w:val="24"/>
        </w:rPr>
        <w:t xml:space="preserve"> – Sanzioni disciplinari </w:t>
      </w:r>
      <w:r w:rsidRPr="001A445D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</w:t>
      </w:r>
      <w:r w:rsidRPr="000D5F66">
        <w:rPr>
          <w:rFonts w:ascii="Arial" w:hAnsi="Arial" w:cs="Arial"/>
          <w:b/>
          <w:color w:val="FF0000"/>
          <w:sz w:val="24"/>
          <w:szCs w:val="24"/>
        </w:rPr>
        <w:t>infrazioni, sanzioni e procedure di contestazione</w:t>
      </w:r>
    </w:p>
    <w:p w:rsidR="00171806" w:rsidRDefault="00171806" w:rsidP="00832E2F">
      <w:pPr>
        <w:pStyle w:val="Nessunaspaziatur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8 – Divieto di indagini sulle opinioni</w:t>
      </w:r>
    </w:p>
    <w:p w:rsidR="001A445D" w:rsidRDefault="001A445D" w:rsidP="00832E2F">
      <w:pPr>
        <w:pStyle w:val="Nessunaspaziatur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9 – Tutela della salute ed integrità fisica</w:t>
      </w:r>
    </w:p>
    <w:p w:rsidR="00AA155C" w:rsidRDefault="00AA155C" w:rsidP="00832E2F">
      <w:pPr>
        <w:pStyle w:val="Nessunaspaziatur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71806">
        <w:rPr>
          <w:rFonts w:ascii="Arial" w:hAnsi="Arial" w:cs="Arial"/>
          <w:b/>
          <w:sz w:val="24"/>
          <w:szCs w:val="24"/>
        </w:rPr>
        <w:t>Art. 10</w:t>
      </w:r>
      <w:r>
        <w:rPr>
          <w:rFonts w:ascii="Arial" w:hAnsi="Arial" w:cs="Arial"/>
          <w:sz w:val="24"/>
          <w:szCs w:val="24"/>
        </w:rPr>
        <w:t xml:space="preserve"> – Lavoratori studenti</w:t>
      </w:r>
    </w:p>
    <w:p w:rsidR="00AA155C" w:rsidRPr="005F7025" w:rsidRDefault="00AA155C" w:rsidP="00832E2F">
      <w:pPr>
        <w:pStyle w:val="Nessunaspaziatur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71806">
        <w:rPr>
          <w:rFonts w:ascii="Arial" w:hAnsi="Arial" w:cs="Arial"/>
          <w:b/>
          <w:sz w:val="24"/>
          <w:szCs w:val="24"/>
        </w:rPr>
        <w:t>Art. 11</w:t>
      </w:r>
      <w:r>
        <w:rPr>
          <w:rFonts w:ascii="Arial" w:hAnsi="Arial" w:cs="Arial"/>
          <w:sz w:val="24"/>
          <w:szCs w:val="24"/>
        </w:rPr>
        <w:t xml:space="preserve"> – Attività culturali, ricreative e assistenziali </w:t>
      </w:r>
      <w:r w:rsidRPr="00AA155C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diritto delle RSA di </w:t>
      </w:r>
      <w:r w:rsidRPr="000D5F66">
        <w:rPr>
          <w:rFonts w:ascii="Arial" w:hAnsi="Arial" w:cs="Arial"/>
          <w:b/>
          <w:color w:val="FF0000"/>
          <w:sz w:val="24"/>
          <w:szCs w:val="24"/>
        </w:rPr>
        <w:t>controllare la qualità del servizio mensa</w:t>
      </w:r>
      <w:r>
        <w:rPr>
          <w:rFonts w:ascii="Arial" w:hAnsi="Arial" w:cs="Arial"/>
          <w:sz w:val="24"/>
          <w:szCs w:val="24"/>
        </w:rPr>
        <w:t xml:space="preserve"> secondo le modalità previste dal CCNL </w:t>
      </w:r>
      <w:r w:rsidRPr="005F7025">
        <w:rPr>
          <w:rFonts w:ascii="Arial" w:hAnsi="Arial" w:cs="Arial"/>
          <w:sz w:val="24"/>
          <w:szCs w:val="24"/>
        </w:rPr>
        <w:t>(</w:t>
      </w:r>
      <w:r w:rsidR="005F7025">
        <w:rPr>
          <w:rFonts w:ascii="Arial" w:hAnsi="Arial" w:cs="Arial"/>
          <w:sz w:val="24"/>
          <w:szCs w:val="24"/>
        </w:rPr>
        <w:t xml:space="preserve">accordo </w:t>
      </w:r>
      <w:r w:rsidR="005F7025" w:rsidRPr="005F7025">
        <w:rPr>
          <w:rFonts w:ascii="Arial" w:hAnsi="Arial" w:cs="Arial"/>
          <w:sz w:val="24"/>
          <w:szCs w:val="24"/>
        </w:rPr>
        <w:t>in Carige</w:t>
      </w:r>
      <w:r w:rsidR="005F7025">
        <w:rPr>
          <w:rFonts w:ascii="Arial" w:hAnsi="Arial" w:cs="Arial"/>
          <w:sz w:val="24"/>
          <w:szCs w:val="24"/>
        </w:rPr>
        <w:t>:</w:t>
      </w:r>
      <w:r w:rsidR="005F7025" w:rsidRPr="005F7025">
        <w:rPr>
          <w:rFonts w:ascii="Arial" w:hAnsi="Arial" w:cs="Arial"/>
          <w:sz w:val="24"/>
          <w:szCs w:val="24"/>
        </w:rPr>
        <w:t xml:space="preserve"> 1.700 annue complessive)</w:t>
      </w:r>
    </w:p>
    <w:p w:rsidR="00171806" w:rsidRDefault="00171806" w:rsidP="00832E2F">
      <w:pPr>
        <w:pStyle w:val="Nessunaspaziatur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12 – Istituti di patronato</w:t>
      </w:r>
    </w:p>
    <w:p w:rsidR="00AA155C" w:rsidRDefault="00AA155C" w:rsidP="00832E2F">
      <w:pPr>
        <w:pStyle w:val="Nessunaspaziatur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71806">
        <w:rPr>
          <w:rFonts w:ascii="Arial" w:hAnsi="Arial" w:cs="Arial"/>
          <w:b/>
          <w:sz w:val="24"/>
          <w:szCs w:val="24"/>
        </w:rPr>
        <w:t>Art. 13</w:t>
      </w:r>
      <w:r>
        <w:rPr>
          <w:rFonts w:ascii="Arial" w:hAnsi="Arial" w:cs="Arial"/>
          <w:sz w:val="24"/>
          <w:szCs w:val="24"/>
        </w:rPr>
        <w:t xml:space="preserve"> – Mansioni del lavoratore </w:t>
      </w:r>
      <w:r w:rsidRPr="00AA155C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</w:t>
      </w:r>
      <w:r w:rsidRPr="000D5F66">
        <w:rPr>
          <w:rFonts w:ascii="Arial" w:hAnsi="Arial" w:cs="Arial"/>
          <w:b/>
          <w:color w:val="FF0000"/>
          <w:sz w:val="24"/>
          <w:szCs w:val="24"/>
        </w:rPr>
        <w:t>mansioni superiori</w:t>
      </w:r>
      <w:r w:rsidR="00171806">
        <w:rPr>
          <w:rFonts w:ascii="Arial" w:hAnsi="Arial" w:cs="Arial"/>
          <w:b/>
          <w:sz w:val="24"/>
          <w:szCs w:val="24"/>
        </w:rPr>
        <w:t xml:space="preserve"> </w:t>
      </w:r>
      <w:r w:rsidR="00171806" w:rsidRPr="00171806">
        <w:rPr>
          <w:rFonts w:ascii="Arial" w:hAnsi="Arial" w:cs="Arial"/>
          <w:sz w:val="24"/>
          <w:szCs w:val="24"/>
        </w:rPr>
        <w:t>(trattamento economico superiore e assegnazione definitiva dopo tre mesi)</w:t>
      </w:r>
      <w:r w:rsidRPr="00171806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  <w:r w:rsidRPr="000D5F66">
        <w:rPr>
          <w:rFonts w:ascii="Arial" w:hAnsi="Arial" w:cs="Arial"/>
          <w:b/>
          <w:color w:val="FF0000"/>
          <w:sz w:val="24"/>
          <w:szCs w:val="24"/>
        </w:rPr>
        <w:t>trasferimento da un’unità produttiva ad un’altra</w:t>
      </w:r>
      <w:r w:rsidR="00171806">
        <w:rPr>
          <w:rFonts w:ascii="Arial" w:hAnsi="Arial" w:cs="Arial"/>
          <w:sz w:val="24"/>
          <w:szCs w:val="24"/>
        </w:rPr>
        <w:t xml:space="preserve"> solo per comprovate ragioni tecniche, organizzative e produttive</w:t>
      </w:r>
    </w:p>
    <w:p w:rsidR="00AA155C" w:rsidRDefault="00AA155C" w:rsidP="00832E2F">
      <w:pPr>
        <w:pStyle w:val="Nessunaspaziatura"/>
        <w:ind w:left="360"/>
        <w:jc w:val="both"/>
        <w:rPr>
          <w:rFonts w:ascii="Arial" w:hAnsi="Arial" w:cs="Arial"/>
          <w:sz w:val="24"/>
          <w:szCs w:val="24"/>
        </w:rPr>
      </w:pPr>
    </w:p>
    <w:p w:rsidR="00BA5194" w:rsidRDefault="00BA5194" w:rsidP="00832E2F">
      <w:pPr>
        <w:pStyle w:val="Nessunaspaziatura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A155C" w:rsidRDefault="00AA155C" w:rsidP="00832E2F">
      <w:pPr>
        <w:pStyle w:val="Nessunaspaziatura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A155C">
        <w:rPr>
          <w:rFonts w:ascii="Arial" w:hAnsi="Arial" w:cs="Arial"/>
          <w:b/>
          <w:sz w:val="24"/>
          <w:szCs w:val="24"/>
          <w:u w:val="single"/>
        </w:rPr>
        <w:t xml:space="preserve">Titolo </w:t>
      </w:r>
      <w:r w:rsidR="00BA5194">
        <w:rPr>
          <w:rFonts w:ascii="Arial" w:hAnsi="Arial" w:cs="Arial"/>
          <w:b/>
          <w:sz w:val="24"/>
          <w:szCs w:val="24"/>
          <w:u w:val="single"/>
        </w:rPr>
        <w:t>II</w:t>
      </w:r>
      <w:r w:rsidRPr="00AA155C">
        <w:rPr>
          <w:rFonts w:ascii="Arial" w:hAnsi="Arial" w:cs="Arial"/>
          <w:b/>
          <w:sz w:val="24"/>
          <w:szCs w:val="24"/>
          <w:u w:val="single"/>
        </w:rPr>
        <w:t xml:space="preserve"> – </w:t>
      </w:r>
      <w:r w:rsidRPr="000D5F66">
        <w:rPr>
          <w:rFonts w:ascii="Arial" w:hAnsi="Arial" w:cs="Arial"/>
          <w:b/>
          <w:color w:val="FF0000"/>
          <w:sz w:val="24"/>
          <w:szCs w:val="24"/>
          <w:u w:val="single"/>
        </w:rPr>
        <w:t>Della libertà sindacale</w:t>
      </w:r>
    </w:p>
    <w:p w:rsidR="00832E2F" w:rsidRDefault="00832E2F" w:rsidP="00832E2F">
      <w:pPr>
        <w:pStyle w:val="Nessunaspaziatura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32E2F" w:rsidRPr="000D5F66" w:rsidRDefault="00832E2F" w:rsidP="00290584">
      <w:pPr>
        <w:pStyle w:val="Nessunaspaziatura"/>
        <w:numPr>
          <w:ilvl w:val="0"/>
          <w:numId w:val="2"/>
        </w:numPr>
        <w:jc w:val="both"/>
        <w:rPr>
          <w:rFonts w:ascii="Arial" w:hAnsi="Arial" w:cs="Arial"/>
          <w:color w:val="FF0000"/>
          <w:sz w:val="24"/>
          <w:szCs w:val="24"/>
        </w:rPr>
      </w:pPr>
      <w:r w:rsidRPr="00171806">
        <w:rPr>
          <w:rFonts w:ascii="Arial" w:hAnsi="Arial" w:cs="Arial"/>
          <w:b/>
          <w:sz w:val="24"/>
          <w:szCs w:val="24"/>
        </w:rPr>
        <w:t>Art. 14</w:t>
      </w:r>
      <w:r w:rsidRPr="00832E2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Diritto di associazione e di attività sindacale </w:t>
      </w:r>
      <w:r w:rsidRPr="00832E2F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</w:t>
      </w:r>
      <w:r w:rsidRPr="000D5F66">
        <w:rPr>
          <w:rFonts w:ascii="Arial" w:hAnsi="Arial" w:cs="Arial"/>
          <w:b/>
          <w:color w:val="FF0000"/>
          <w:sz w:val="24"/>
          <w:szCs w:val="24"/>
        </w:rPr>
        <w:t>costituire, aderire e svolgere attività</w:t>
      </w:r>
    </w:p>
    <w:p w:rsidR="00832E2F" w:rsidRDefault="00832E2F" w:rsidP="00290584">
      <w:pPr>
        <w:pStyle w:val="Nessunaspaziatura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171806">
        <w:rPr>
          <w:rFonts w:ascii="Arial" w:hAnsi="Arial" w:cs="Arial"/>
          <w:b/>
          <w:sz w:val="24"/>
          <w:szCs w:val="24"/>
        </w:rPr>
        <w:t>Art. 15</w:t>
      </w:r>
      <w:r>
        <w:rPr>
          <w:rFonts w:ascii="Arial" w:hAnsi="Arial" w:cs="Arial"/>
          <w:sz w:val="24"/>
          <w:szCs w:val="24"/>
        </w:rPr>
        <w:t xml:space="preserve"> – </w:t>
      </w:r>
      <w:r w:rsidRPr="000D5F66">
        <w:rPr>
          <w:rFonts w:ascii="Arial" w:hAnsi="Arial" w:cs="Arial"/>
          <w:b/>
          <w:color w:val="FF0000"/>
          <w:sz w:val="24"/>
          <w:szCs w:val="24"/>
        </w:rPr>
        <w:t>Atti discriminatori</w:t>
      </w:r>
      <w:r w:rsidRPr="000D5F66">
        <w:rPr>
          <w:rFonts w:ascii="Arial" w:hAnsi="Arial" w:cs="Arial"/>
          <w:color w:val="FF0000"/>
          <w:sz w:val="24"/>
          <w:szCs w:val="24"/>
        </w:rPr>
        <w:t xml:space="preserve"> (</w:t>
      </w:r>
      <w:r w:rsidRPr="000D5F66">
        <w:rPr>
          <w:rFonts w:ascii="Arial" w:hAnsi="Arial" w:cs="Arial"/>
          <w:b/>
          <w:color w:val="FF0000"/>
          <w:sz w:val="24"/>
          <w:szCs w:val="24"/>
        </w:rPr>
        <w:t>per adesione sindacale</w:t>
      </w:r>
      <w:r>
        <w:rPr>
          <w:rFonts w:ascii="Arial" w:hAnsi="Arial" w:cs="Arial"/>
          <w:sz w:val="24"/>
          <w:szCs w:val="24"/>
        </w:rPr>
        <w:t xml:space="preserve">, politica, religiosa, razziale, di lingua o di sesso) </w:t>
      </w:r>
      <w:r w:rsidRPr="00832E2F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</w:t>
      </w:r>
      <w:r w:rsidRPr="000D5F66">
        <w:rPr>
          <w:rFonts w:ascii="Arial" w:hAnsi="Arial" w:cs="Arial"/>
          <w:b/>
          <w:color w:val="FF0000"/>
          <w:sz w:val="24"/>
          <w:szCs w:val="24"/>
        </w:rPr>
        <w:t>per occupazione, licenziamento, qualifiche, mansioni, trasferimenti, provvedimenti disciplinari</w:t>
      </w:r>
    </w:p>
    <w:p w:rsidR="00832E2F" w:rsidRDefault="00832E2F" w:rsidP="00290584">
      <w:pPr>
        <w:pStyle w:val="Nessunaspaziatur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16 – Trattamenti economici collettivi discriminatori (vedi art. 15)</w:t>
      </w:r>
    </w:p>
    <w:p w:rsidR="00832E2F" w:rsidRDefault="00832E2F" w:rsidP="00290584">
      <w:pPr>
        <w:pStyle w:val="Nessunaspaziatur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71806">
        <w:rPr>
          <w:rFonts w:ascii="Arial" w:hAnsi="Arial" w:cs="Arial"/>
          <w:sz w:val="24"/>
          <w:szCs w:val="24"/>
        </w:rPr>
        <w:t xml:space="preserve">Art. 17 – Sindacati di comodo </w:t>
      </w:r>
      <w:r w:rsidRPr="00171806">
        <w:rPr>
          <w:rFonts w:ascii="Arial" w:hAnsi="Arial" w:cs="Arial"/>
          <w:sz w:val="24"/>
          <w:szCs w:val="24"/>
        </w:rPr>
        <w:sym w:font="Wingdings" w:char="F0E0"/>
      </w:r>
      <w:r w:rsidRPr="00171806">
        <w:rPr>
          <w:rFonts w:ascii="Arial" w:hAnsi="Arial" w:cs="Arial"/>
          <w:sz w:val="24"/>
          <w:szCs w:val="24"/>
        </w:rPr>
        <w:t xml:space="preserve">  divieto ai datori di lavoro</w:t>
      </w:r>
      <w:r>
        <w:rPr>
          <w:rFonts w:ascii="Arial" w:hAnsi="Arial" w:cs="Arial"/>
          <w:sz w:val="24"/>
          <w:szCs w:val="24"/>
        </w:rPr>
        <w:t xml:space="preserve"> di costituire o sostenere, anche con mezzi economici, associazioni sindacali di lavoratori</w:t>
      </w:r>
    </w:p>
    <w:p w:rsidR="00832E2F" w:rsidRPr="000D5F66" w:rsidRDefault="0099453F" w:rsidP="00290584">
      <w:pPr>
        <w:pStyle w:val="Nessunaspaziatura"/>
        <w:numPr>
          <w:ilvl w:val="0"/>
          <w:numId w:val="2"/>
        </w:numPr>
        <w:jc w:val="both"/>
        <w:rPr>
          <w:rFonts w:ascii="Arial" w:hAnsi="Arial" w:cs="Arial"/>
          <w:color w:val="FF0000"/>
          <w:sz w:val="24"/>
          <w:szCs w:val="24"/>
        </w:rPr>
      </w:pPr>
      <w:r w:rsidRPr="00290584">
        <w:rPr>
          <w:rFonts w:ascii="Arial" w:hAnsi="Arial" w:cs="Arial"/>
          <w:b/>
          <w:sz w:val="24"/>
          <w:szCs w:val="24"/>
        </w:rPr>
        <w:t xml:space="preserve">Art. 18 </w:t>
      </w:r>
      <w:r w:rsidR="00D3194C" w:rsidRPr="00290584">
        <w:rPr>
          <w:rFonts w:ascii="Arial" w:hAnsi="Arial" w:cs="Arial"/>
          <w:b/>
          <w:sz w:val="24"/>
          <w:szCs w:val="24"/>
        </w:rPr>
        <w:t>–</w:t>
      </w:r>
      <w:r w:rsidRPr="00290584">
        <w:rPr>
          <w:rFonts w:ascii="Arial" w:hAnsi="Arial" w:cs="Arial"/>
          <w:b/>
          <w:sz w:val="24"/>
          <w:szCs w:val="24"/>
        </w:rPr>
        <w:t xml:space="preserve"> </w:t>
      </w:r>
      <w:r w:rsidR="00D3194C" w:rsidRPr="000D5F66">
        <w:rPr>
          <w:rFonts w:ascii="Arial" w:hAnsi="Arial" w:cs="Arial"/>
          <w:b/>
          <w:color w:val="FF0000"/>
          <w:sz w:val="24"/>
          <w:szCs w:val="24"/>
        </w:rPr>
        <w:t>Reintegrazione nel posto di lavoro in caso di licenziamento senza giusta causa o giustificato motivo nelle imprese che occupino più di 15 dipendenti (anche quale sommatoria delle singole unità produttive nello stesso comune) e risarcimento del danno economico (compreso versamento d</w:t>
      </w:r>
      <w:r w:rsidR="00290584" w:rsidRPr="000D5F66">
        <w:rPr>
          <w:rFonts w:ascii="Arial" w:hAnsi="Arial" w:cs="Arial"/>
          <w:b/>
          <w:color w:val="FF0000"/>
          <w:sz w:val="24"/>
          <w:szCs w:val="24"/>
        </w:rPr>
        <w:t>e</w:t>
      </w:r>
      <w:r w:rsidR="00D3194C" w:rsidRPr="000D5F66">
        <w:rPr>
          <w:rFonts w:ascii="Arial" w:hAnsi="Arial" w:cs="Arial"/>
          <w:b/>
          <w:color w:val="FF0000"/>
          <w:sz w:val="24"/>
          <w:szCs w:val="24"/>
        </w:rPr>
        <w:t xml:space="preserve">i contributi </w:t>
      </w:r>
      <w:r w:rsidR="00290584" w:rsidRPr="000D5F66">
        <w:rPr>
          <w:rFonts w:ascii="Arial" w:hAnsi="Arial" w:cs="Arial"/>
          <w:b/>
          <w:color w:val="FF0000"/>
          <w:sz w:val="24"/>
          <w:szCs w:val="24"/>
        </w:rPr>
        <w:t>assistenziale e previdenziali) fino all’effettiva reintegrazione</w:t>
      </w:r>
    </w:p>
    <w:p w:rsidR="00290584" w:rsidRPr="000D5F66" w:rsidRDefault="00290584" w:rsidP="00290584">
      <w:pPr>
        <w:pStyle w:val="Nessunaspaziatura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BA5194" w:rsidRDefault="00BA5194" w:rsidP="00290584">
      <w:pPr>
        <w:pStyle w:val="Nessunaspaziatura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290584" w:rsidRDefault="00290584" w:rsidP="00290584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290584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Titolo </w:t>
      </w:r>
      <w:r w:rsidR="00BA5194">
        <w:rPr>
          <w:rFonts w:ascii="Arial" w:hAnsi="Arial" w:cs="Arial"/>
          <w:b/>
          <w:sz w:val="24"/>
          <w:szCs w:val="24"/>
          <w:u w:val="single"/>
        </w:rPr>
        <w:t>III</w:t>
      </w:r>
      <w:r w:rsidRPr="00290584">
        <w:rPr>
          <w:rFonts w:ascii="Arial" w:hAnsi="Arial" w:cs="Arial"/>
          <w:b/>
          <w:sz w:val="24"/>
          <w:szCs w:val="24"/>
          <w:u w:val="single"/>
        </w:rPr>
        <w:t xml:space="preserve"> – </w:t>
      </w:r>
      <w:r w:rsidRPr="000D5F66">
        <w:rPr>
          <w:rFonts w:ascii="Arial" w:hAnsi="Arial" w:cs="Arial"/>
          <w:b/>
          <w:color w:val="FF0000"/>
          <w:sz w:val="24"/>
          <w:szCs w:val="24"/>
          <w:u w:val="single"/>
        </w:rPr>
        <w:t>Dell’attività sindacale</w:t>
      </w:r>
    </w:p>
    <w:p w:rsidR="00290584" w:rsidRDefault="00290584" w:rsidP="00290584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:rsidR="00290584" w:rsidRPr="000D5F66" w:rsidRDefault="00290584" w:rsidP="0094775E">
      <w:pPr>
        <w:pStyle w:val="Nessunaspaziatura"/>
        <w:numPr>
          <w:ilvl w:val="0"/>
          <w:numId w:val="8"/>
        </w:numPr>
        <w:jc w:val="both"/>
        <w:rPr>
          <w:rFonts w:ascii="Arial" w:hAnsi="Arial" w:cs="Arial"/>
          <w:color w:val="FF0000"/>
          <w:sz w:val="24"/>
          <w:szCs w:val="24"/>
        </w:rPr>
      </w:pPr>
      <w:r w:rsidRPr="00290584">
        <w:rPr>
          <w:rFonts w:ascii="Arial" w:hAnsi="Arial" w:cs="Arial"/>
          <w:b/>
          <w:sz w:val="24"/>
          <w:szCs w:val="24"/>
        </w:rPr>
        <w:t xml:space="preserve">Art. 19 – </w:t>
      </w:r>
      <w:r w:rsidRPr="000D5F66">
        <w:rPr>
          <w:rFonts w:ascii="Arial" w:hAnsi="Arial" w:cs="Arial"/>
          <w:b/>
          <w:color w:val="FF0000"/>
          <w:sz w:val="24"/>
          <w:szCs w:val="24"/>
        </w:rPr>
        <w:t xml:space="preserve">Costituzione delle rappresentanze sindacali aziendali  </w:t>
      </w:r>
      <w:r w:rsidRPr="000D5F66">
        <w:rPr>
          <w:rFonts w:ascii="Arial" w:hAnsi="Arial" w:cs="Arial"/>
          <w:b/>
          <w:color w:val="FF0000"/>
          <w:sz w:val="24"/>
          <w:szCs w:val="24"/>
        </w:rPr>
        <w:sym w:font="Wingdings" w:char="F0E0"/>
      </w:r>
      <w:r w:rsidRPr="000D5F66">
        <w:rPr>
          <w:rFonts w:ascii="Arial" w:hAnsi="Arial" w:cs="Arial"/>
          <w:b/>
          <w:color w:val="FF0000"/>
          <w:sz w:val="24"/>
          <w:szCs w:val="24"/>
        </w:rPr>
        <w:t xml:space="preserve"> ad iniziativa dei lavoratori, in ogni unità produttiva, per associazioni sindacali firmatarie di contratti collettivi</w:t>
      </w:r>
    </w:p>
    <w:p w:rsidR="00290584" w:rsidRDefault="00290584" w:rsidP="0094775E">
      <w:pPr>
        <w:pStyle w:val="Nessunaspaziatura"/>
        <w:numPr>
          <w:ilvl w:val="0"/>
          <w:numId w:val="8"/>
        </w:numPr>
        <w:jc w:val="both"/>
        <w:rPr>
          <w:rFonts w:ascii="Arial" w:hAnsi="Arial" w:cs="Arial"/>
          <w:b/>
          <w:sz w:val="24"/>
          <w:szCs w:val="24"/>
        </w:rPr>
      </w:pPr>
      <w:r w:rsidRPr="00774BE6">
        <w:rPr>
          <w:rFonts w:ascii="Arial" w:hAnsi="Arial" w:cs="Arial"/>
          <w:b/>
          <w:sz w:val="24"/>
          <w:szCs w:val="24"/>
        </w:rPr>
        <w:t xml:space="preserve">Art. 20 – </w:t>
      </w:r>
      <w:r w:rsidRPr="000D5F66">
        <w:rPr>
          <w:rFonts w:ascii="Arial" w:hAnsi="Arial" w:cs="Arial"/>
          <w:b/>
          <w:color w:val="FF0000"/>
          <w:sz w:val="24"/>
          <w:szCs w:val="24"/>
        </w:rPr>
        <w:t xml:space="preserve">Assemblee </w:t>
      </w:r>
      <w:r w:rsidRPr="000D5F66">
        <w:rPr>
          <w:rFonts w:ascii="Arial" w:hAnsi="Arial" w:cs="Arial"/>
          <w:b/>
          <w:color w:val="FF0000"/>
          <w:sz w:val="24"/>
          <w:szCs w:val="24"/>
        </w:rPr>
        <w:sym w:font="Wingdings" w:char="F0E0"/>
      </w:r>
      <w:r w:rsidRPr="000D5F66">
        <w:rPr>
          <w:rFonts w:ascii="Arial" w:hAnsi="Arial" w:cs="Arial"/>
          <w:b/>
          <w:color w:val="FF0000"/>
          <w:sz w:val="24"/>
          <w:szCs w:val="24"/>
        </w:rPr>
        <w:t xml:space="preserve"> diritto di riunirsi (e di essere retribuiti) fuori e durante l’orario di lavoro, nel limite di dieci ore annue</w:t>
      </w:r>
      <w:r w:rsidR="00A15D36" w:rsidRPr="000D5F66">
        <w:rPr>
          <w:rFonts w:ascii="Arial" w:hAnsi="Arial" w:cs="Arial"/>
          <w:b/>
          <w:color w:val="FF0000"/>
          <w:sz w:val="24"/>
          <w:szCs w:val="24"/>
        </w:rPr>
        <w:t xml:space="preserve">; </w:t>
      </w:r>
      <w:r w:rsidR="00774BE6" w:rsidRPr="000D5F66">
        <w:rPr>
          <w:rFonts w:ascii="Arial" w:hAnsi="Arial" w:cs="Arial"/>
          <w:b/>
          <w:color w:val="FF0000"/>
          <w:sz w:val="24"/>
          <w:szCs w:val="24"/>
        </w:rPr>
        <w:t>indette anche per gruppi di lavoratori, singolarmente o congiuntamente dalle OOSS nell’unità produttiva, con ordine del giorno su materie di interesse sindacale e del lavoro; possono partecipare, previo preavviso, dirigente esterni del sindacato</w:t>
      </w:r>
    </w:p>
    <w:p w:rsidR="00774BE6" w:rsidRPr="00171806" w:rsidRDefault="00774BE6" w:rsidP="0094775E">
      <w:pPr>
        <w:pStyle w:val="Nessunaspaziatur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774BE6">
        <w:rPr>
          <w:rFonts w:ascii="Arial" w:hAnsi="Arial" w:cs="Arial"/>
          <w:sz w:val="24"/>
          <w:szCs w:val="24"/>
        </w:rPr>
        <w:t xml:space="preserve">Art. 21 </w:t>
      </w:r>
      <w:r>
        <w:rPr>
          <w:rFonts w:ascii="Arial" w:hAnsi="Arial" w:cs="Arial"/>
          <w:sz w:val="24"/>
          <w:szCs w:val="24"/>
        </w:rPr>
        <w:t>–</w:t>
      </w:r>
      <w:r w:rsidRPr="00774BE6">
        <w:rPr>
          <w:rFonts w:ascii="Arial" w:hAnsi="Arial" w:cs="Arial"/>
          <w:sz w:val="24"/>
          <w:szCs w:val="24"/>
        </w:rPr>
        <w:t xml:space="preserve"> </w:t>
      </w:r>
      <w:r w:rsidRPr="00171806">
        <w:rPr>
          <w:rFonts w:ascii="Arial" w:hAnsi="Arial" w:cs="Arial"/>
          <w:sz w:val="24"/>
          <w:szCs w:val="24"/>
        </w:rPr>
        <w:t xml:space="preserve">Referendum </w:t>
      </w:r>
      <w:r w:rsidRPr="00171806">
        <w:rPr>
          <w:rFonts w:ascii="Arial" w:hAnsi="Arial" w:cs="Arial"/>
          <w:sz w:val="24"/>
          <w:szCs w:val="24"/>
        </w:rPr>
        <w:sym w:font="Wingdings" w:char="F0E0"/>
      </w:r>
      <w:r w:rsidRPr="00171806">
        <w:rPr>
          <w:rFonts w:ascii="Arial" w:hAnsi="Arial" w:cs="Arial"/>
          <w:sz w:val="24"/>
          <w:szCs w:val="24"/>
        </w:rPr>
        <w:t xml:space="preserve"> sia generale che di categoria; diritto di svolgerlo nell’ambito aziendale fuori dall’orario di lavoro</w:t>
      </w:r>
    </w:p>
    <w:p w:rsidR="00774BE6" w:rsidRDefault="00774BE6" w:rsidP="0094775E">
      <w:pPr>
        <w:pStyle w:val="Nessunaspaziatur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774BE6">
        <w:rPr>
          <w:rFonts w:ascii="Arial" w:hAnsi="Arial" w:cs="Arial"/>
          <w:b/>
          <w:sz w:val="24"/>
          <w:szCs w:val="24"/>
        </w:rPr>
        <w:t xml:space="preserve">Art. 22 – </w:t>
      </w:r>
      <w:r w:rsidRPr="000D5F66">
        <w:rPr>
          <w:rFonts w:ascii="Arial" w:hAnsi="Arial" w:cs="Arial"/>
          <w:b/>
          <w:color w:val="FF0000"/>
          <w:sz w:val="24"/>
          <w:szCs w:val="24"/>
        </w:rPr>
        <w:t>Trasferimento dei dirigenti delle rappresentanze sindacali aziendali</w:t>
      </w:r>
      <w:r w:rsidRPr="000D5F66">
        <w:rPr>
          <w:rFonts w:ascii="Arial" w:hAnsi="Arial" w:cs="Arial"/>
          <w:color w:val="FF0000"/>
          <w:sz w:val="24"/>
          <w:szCs w:val="24"/>
        </w:rPr>
        <w:t xml:space="preserve"> </w:t>
      </w:r>
      <w:r w:rsidRPr="000D5F66">
        <w:rPr>
          <w:rFonts w:ascii="Arial" w:hAnsi="Arial" w:cs="Arial"/>
          <w:color w:val="FF0000"/>
          <w:sz w:val="24"/>
          <w:szCs w:val="24"/>
        </w:rPr>
        <w:sym w:font="Wingdings" w:char="F0E0"/>
      </w:r>
      <w:r w:rsidRPr="000D5F66">
        <w:rPr>
          <w:rFonts w:ascii="Arial" w:hAnsi="Arial" w:cs="Arial"/>
          <w:color w:val="FF0000"/>
          <w:sz w:val="24"/>
          <w:szCs w:val="24"/>
        </w:rPr>
        <w:t xml:space="preserve"> </w:t>
      </w:r>
      <w:r w:rsidRPr="000D5F66">
        <w:rPr>
          <w:rFonts w:ascii="Arial" w:hAnsi="Arial" w:cs="Arial"/>
          <w:b/>
          <w:color w:val="FF0000"/>
          <w:sz w:val="24"/>
          <w:szCs w:val="24"/>
        </w:rPr>
        <w:t>nulla osta</w:t>
      </w:r>
      <w:r w:rsidRPr="000D5F66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delle organizzazioni sindacali di appartenenza (fino alla fine dell’anno successivo a quello in cui è cessato l’incarico – tre mesi per la commissione mensa)</w:t>
      </w:r>
    </w:p>
    <w:p w:rsidR="003F29ED" w:rsidRPr="000D5F66" w:rsidRDefault="00774BE6" w:rsidP="0094775E">
      <w:pPr>
        <w:pStyle w:val="Nessunaspaziatura"/>
        <w:numPr>
          <w:ilvl w:val="0"/>
          <w:numId w:val="8"/>
        </w:num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3F29ED">
        <w:rPr>
          <w:rFonts w:ascii="Arial" w:hAnsi="Arial" w:cs="Arial"/>
          <w:b/>
          <w:sz w:val="24"/>
          <w:szCs w:val="24"/>
        </w:rPr>
        <w:t xml:space="preserve">Art. 23 – </w:t>
      </w:r>
      <w:r w:rsidRPr="000D5F66">
        <w:rPr>
          <w:rFonts w:ascii="Arial" w:hAnsi="Arial" w:cs="Arial"/>
          <w:b/>
          <w:color w:val="FF0000"/>
          <w:sz w:val="24"/>
          <w:szCs w:val="24"/>
        </w:rPr>
        <w:t xml:space="preserve">Permessi retribuiti </w:t>
      </w:r>
      <w:r w:rsidRPr="000D5F66">
        <w:rPr>
          <w:rFonts w:ascii="Arial" w:hAnsi="Arial" w:cs="Arial"/>
          <w:b/>
          <w:color w:val="FF0000"/>
          <w:sz w:val="24"/>
          <w:szCs w:val="24"/>
        </w:rPr>
        <w:sym w:font="Wingdings" w:char="F0E0"/>
      </w:r>
      <w:r w:rsidRPr="000D5F66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3F29ED" w:rsidRPr="000D5F66">
        <w:rPr>
          <w:rFonts w:ascii="Arial" w:hAnsi="Arial" w:cs="Arial"/>
          <w:b/>
          <w:color w:val="FF0000"/>
          <w:sz w:val="24"/>
          <w:szCs w:val="24"/>
        </w:rPr>
        <w:t>obbligo di comunicazione scritta 24 ore prima</w:t>
      </w:r>
    </w:p>
    <w:p w:rsidR="001A445D" w:rsidRPr="000D5F66" w:rsidRDefault="003F29ED" w:rsidP="0094775E">
      <w:pPr>
        <w:pStyle w:val="Nessunaspaziatura"/>
        <w:numPr>
          <w:ilvl w:val="0"/>
          <w:numId w:val="9"/>
        </w:num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0D5F66">
        <w:rPr>
          <w:rFonts w:ascii="Arial" w:hAnsi="Arial" w:cs="Arial"/>
          <w:b/>
          <w:color w:val="FF0000"/>
          <w:sz w:val="24"/>
          <w:szCs w:val="24"/>
        </w:rPr>
        <w:t>un dirigente per ciascuna rappresentanza sindacale aziendale nelle unità produttive che occupano fino a 200 dipendenti</w:t>
      </w:r>
    </w:p>
    <w:p w:rsidR="003F29ED" w:rsidRPr="000D5F66" w:rsidRDefault="003F29ED" w:rsidP="0094775E">
      <w:pPr>
        <w:pStyle w:val="Nessunaspaziatura"/>
        <w:numPr>
          <w:ilvl w:val="0"/>
          <w:numId w:val="9"/>
        </w:num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0D5F66">
        <w:rPr>
          <w:rFonts w:ascii="Arial" w:hAnsi="Arial" w:cs="Arial"/>
          <w:b/>
          <w:color w:val="FF0000"/>
          <w:sz w:val="24"/>
          <w:szCs w:val="24"/>
        </w:rPr>
        <w:t>un dirigente ogni 300 o frazione di 300 per ciascuna rappresentanza sindacale aziendale nelle unità produttive che occupano fino a 3.000 dipendenti</w:t>
      </w:r>
    </w:p>
    <w:p w:rsidR="003F29ED" w:rsidRPr="000D5F66" w:rsidRDefault="003F29ED" w:rsidP="0094775E">
      <w:pPr>
        <w:pStyle w:val="Nessunaspaziatura"/>
        <w:numPr>
          <w:ilvl w:val="0"/>
          <w:numId w:val="9"/>
        </w:num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0D5F66">
        <w:rPr>
          <w:rFonts w:ascii="Arial" w:hAnsi="Arial" w:cs="Arial"/>
          <w:b/>
          <w:color w:val="FF0000"/>
          <w:sz w:val="24"/>
          <w:szCs w:val="24"/>
        </w:rPr>
        <w:t>un dirigente ogni 500 o frazione di 500 per ciascuna rappresentanza sindacale aziendale nelle unità produttive di maggiori dimensioni, in aggiunta al punto precedente</w:t>
      </w:r>
    </w:p>
    <w:p w:rsidR="003F29ED" w:rsidRPr="000D5F66" w:rsidRDefault="003F29ED" w:rsidP="0094775E">
      <w:pPr>
        <w:pStyle w:val="Nessunaspaziatura"/>
        <w:ind w:firstLine="708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94775E">
        <w:rPr>
          <w:rFonts w:ascii="Arial" w:hAnsi="Arial" w:cs="Arial"/>
          <w:sz w:val="24"/>
          <w:szCs w:val="24"/>
        </w:rPr>
        <w:t xml:space="preserve">per il punto </w:t>
      </w:r>
      <w:r w:rsidRPr="000D5F66">
        <w:rPr>
          <w:rFonts w:ascii="Arial" w:hAnsi="Arial" w:cs="Arial"/>
          <w:b/>
          <w:color w:val="FF0000"/>
          <w:sz w:val="24"/>
          <w:szCs w:val="24"/>
        </w:rPr>
        <w:t xml:space="preserve">a): </w:t>
      </w:r>
      <w:r w:rsidR="0094775E" w:rsidRPr="000D5F66">
        <w:rPr>
          <w:rFonts w:ascii="Arial" w:hAnsi="Arial" w:cs="Arial"/>
          <w:b/>
          <w:color w:val="FF0000"/>
          <w:sz w:val="24"/>
          <w:szCs w:val="24"/>
        </w:rPr>
        <w:tab/>
      </w:r>
      <w:r w:rsidRPr="000D5F66">
        <w:rPr>
          <w:rFonts w:ascii="Arial" w:hAnsi="Arial" w:cs="Arial"/>
          <w:b/>
          <w:color w:val="FF0000"/>
          <w:sz w:val="24"/>
          <w:szCs w:val="24"/>
        </w:rPr>
        <w:t>non inferiori ad un’ora all’anno per ciascun dipendente</w:t>
      </w:r>
    </w:p>
    <w:p w:rsidR="003F29ED" w:rsidRDefault="003F29ED" w:rsidP="0094775E">
      <w:pPr>
        <w:pStyle w:val="Nessunaspaziatura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94775E">
        <w:rPr>
          <w:rFonts w:ascii="Arial" w:hAnsi="Arial" w:cs="Arial"/>
          <w:sz w:val="24"/>
          <w:szCs w:val="24"/>
        </w:rPr>
        <w:t>per i punti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D5F66">
        <w:rPr>
          <w:rFonts w:ascii="Arial" w:hAnsi="Arial" w:cs="Arial"/>
          <w:b/>
          <w:color w:val="FF0000"/>
          <w:sz w:val="24"/>
          <w:szCs w:val="24"/>
        </w:rPr>
        <w:t>b) e c): non inferiori a 8 ore mensili</w:t>
      </w:r>
    </w:p>
    <w:p w:rsidR="003F29ED" w:rsidRDefault="003F29ED" w:rsidP="0094775E">
      <w:pPr>
        <w:pStyle w:val="Nessunaspaziatur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24 – </w:t>
      </w:r>
      <w:r w:rsidRPr="00171806">
        <w:rPr>
          <w:rFonts w:ascii="Arial" w:hAnsi="Arial" w:cs="Arial"/>
          <w:sz w:val="24"/>
          <w:szCs w:val="24"/>
        </w:rPr>
        <w:t xml:space="preserve">Permessi non retribuiti </w:t>
      </w:r>
      <w:r w:rsidRPr="00171806">
        <w:rPr>
          <w:rFonts w:ascii="Arial" w:hAnsi="Arial" w:cs="Arial"/>
          <w:sz w:val="24"/>
          <w:szCs w:val="24"/>
        </w:rPr>
        <w:sym w:font="Wingdings" w:char="F0E0"/>
      </w:r>
      <w:r w:rsidRPr="00171806">
        <w:rPr>
          <w:rFonts w:ascii="Arial" w:hAnsi="Arial" w:cs="Arial"/>
          <w:sz w:val="24"/>
          <w:szCs w:val="24"/>
        </w:rPr>
        <w:t xml:space="preserve"> in misura non inferiore a 8 giorni all’anno</w:t>
      </w:r>
      <w:r w:rsidR="00CF034F">
        <w:rPr>
          <w:rFonts w:ascii="Arial" w:hAnsi="Arial" w:cs="Arial"/>
          <w:sz w:val="24"/>
          <w:szCs w:val="24"/>
        </w:rPr>
        <w:t xml:space="preserve"> (comunicazione scritta tre giorni prima)</w:t>
      </w:r>
    </w:p>
    <w:p w:rsidR="00CF034F" w:rsidRDefault="00CF034F" w:rsidP="0094775E">
      <w:pPr>
        <w:pStyle w:val="Nessunaspaziatur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171806">
        <w:rPr>
          <w:rFonts w:ascii="Arial" w:hAnsi="Arial" w:cs="Arial"/>
          <w:b/>
          <w:sz w:val="24"/>
          <w:szCs w:val="24"/>
        </w:rPr>
        <w:t>Art. 25</w:t>
      </w:r>
      <w:r>
        <w:rPr>
          <w:rFonts w:ascii="Arial" w:hAnsi="Arial" w:cs="Arial"/>
          <w:sz w:val="24"/>
          <w:szCs w:val="24"/>
        </w:rPr>
        <w:t xml:space="preserve"> – </w:t>
      </w:r>
      <w:r w:rsidRPr="000D5F66">
        <w:rPr>
          <w:rFonts w:ascii="Arial" w:hAnsi="Arial" w:cs="Arial"/>
          <w:b/>
          <w:color w:val="FF0000"/>
          <w:sz w:val="24"/>
          <w:szCs w:val="24"/>
        </w:rPr>
        <w:t>Diritto di affissione</w:t>
      </w:r>
      <w:r>
        <w:rPr>
          <w:rFonts w:ascii="Arial" w:hAnsi="Arial" w:cs="Arial"/>
          <w:sz w:val="24"/>
          <w:szCs w:val="24"/>
        </w:rPr>
        <w:t xml:space="preserve"> </w:t>
      </w:r>
      <w:r w:rsidRPr="00CF034F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obbligo per il datore di lavoro di predisporre </w:t>
      </w:r>
      <w:r w:rsidRPr="000D5F66">
        <w:rPr>
          <w:rFonts w:ascii="Arial" w:hAnsi="Arial" w:cs="Arial"/>
          <w:b/>
          <w:color w:val="FF0000"/>
          <w:sz w:val="24"/>
          <w:szCs w:val="24"/>
        </w:rPr>
        <w:t>appositi spazi in luoghi accessibili</w:t>
      </w:r>
      <w:r>
        <w:rPr>
          <w:rFonts w:ascii="Arial" w:hAnsi="Arial" w:cs="Arial"/>
          <w:sz w:val="24"/>
          <w:szCs w:val="24"/>
        </w:rPr>
        <w:t xml:space="preserve"> per l’affissione di pubblicazioni, testi e comunicati sindacali</w:t>
      </w:r>
    </w:p>
    <w:p w:rsidR="00CF034F" w:rsidRDefault="00CF034F" w:rsidP="0094775E">
      <w:pPr>
        <w:pStyle w:val="Nessunaspaziatur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171806">
        <w:rPr>
          <w:rFonts w:ascii="Arial" w:hAnsi="Arial" w:cs="Arial"/>
          <w:b/>
          <w:sz w:val="24"/>
          <w:szCs w:val="24"/>
        </w:rPr>
        <w:t>Art. 26</w:t>
      </w:r>
      <w:r>
        <w:rPr>
          <w:rFonts w:ascii="Arial" w:hAnsi="Arial" w:cs="Arial"/>
          <w:sz w:val="24"/>
          <w:szCs w:val="24"/>
        </w:rPr>
        <w:t xml:space="preserve"> – </w:t>
      </w:r>
      <w:r w:rsidRPr="000D5F66">
        <w:rPr>
          <w:rFonts w:ascii="Arial" w:hAnsi="Arial" w:cs="Arial"/>
          <w:b/>
          <w:color w:val="FF0000"/>
          <w:sz w:val="24"/>
          <w:szCs w:val="24"/>
        </w:rPr>
        <w:t>Contributi sindacali</w:t>
      </w:r>
      <w:r>
        <w:rPr>
          <w:rFonts w:ascii="Arial" w:hAnsi="Arial" w:cs="Arial"/>
          <w:sz w:val="24"/>
          <w:szCs w:val="24"/>
        </w:rPr>
        <w:t xml:space="preserve"> </w:t>
      </w:r>
      <w:r w:rsidRPr="00CF034F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diritto di svolgere opera di proselitismo, diritto di percepire i contributi sindacali tramite </w:t>
      </w:r>
      <w:r w:rsidRPr="000D5F66">
        <w:rPr>
          <w:rFonts w:ascii="Arial" w:hAnsi="Arial" w:cs="Arial"/>
          <w:b/>
          <w:color w:val="FF0000"/>
          <w:sz w:val="24"/>
          <w:szCs w:val="24"/>
        </w:rPr>
        <w:t>ritenuta sul salario</w:t>
      </w:r>
    </w:p>
    <w:p w:rsidR="00CF034F" w:rsidRDefault="0094775E" w:rsidP="0094775E">
      <w:pPr>
        <w:pStyle w:val="Nessunaspaziatur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171806">
        <w:rPr>
          <w:rFonts w:ascii="Arial" w:hAnsi="Arial" w:cs="Arial"/>
          <w:b/>
          <w:sz w:val="24"/>
          <w:szCs w:val="24"/>
        </w:rPr>
        <w:t>Art. 27</w:t>
      </w:r>
      <w:r>
        <w:rPr>
          <w:rFonts w:ascii="Arial" w:hAnsi="Arial" w:cs="Arial"/>
          <w:sz w:val="24"/>
          <w:szCs w:val="24"/>
        </w:rPr>
        <w:t xml:space="preserve"> – </w:t>
      </w:r>
      <w:r w:rsidRPr="000D5F66">
        <w:rPr>
          <w:rFonts w:ascii="Arial" w:hAnsi="Arial" w:cs="Arial"/>
          <w:b/>
          <w:color w:val="FF0000"/>
          <w:sz w:val="24"/>
          <w:szCs w:val="24"/>
        </w:rPr>
        <w:t>Locali delle rappresentanze sindacali aziendali</w:t>
      </w:r>
      <w:r>
        <w:rPr>
          <w:rFonts w:ascii="Arial" w:hAnsi="Arial" w:cs="Arial"/>
          <w:sz w:val="24"/>
          <w:szCs w:val="24"/>
        </w:rPr>
        <w:t xml:space="preserve"> </w:t>
      </w:r>
      <w:r w:rsidRPr="0094775E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il datore di lavoro nelle unità produttive con almeno 200 dipendenti deve porre permanentemente a disposizione delle OOSS, un locale comune idoneo all’esercizio delle loro funzioni</w:t>
      </w:r>
    </w:p>
    <w:p w:rsidR="00BA5194" w:rsidRDefault="00BA5194" w:rsidP="00BA5194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:rsidR="00BA5194" w:rsidRDefault="00BA5194" w:rsidP="00BA5194">
      <w:pPr>
        <w:pStyle w:val="Nessunaspaziatura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A5194" w:rsidRDefault="00BA5194" w:rsidP="00BA5194">
      <w:pPr>
        <w:pStyle w:val="Nessunaspaziatura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A5194">
        <w:rPr>
          <w:rFonts w:ascii="Arial" w:hAnsi="Arial" w:cs="Arial"/>
          <w:b/>
          <w:sz w:val="24"/>
          <w:szCs w:val="24"/>
          <w:u w:val="single"/>
        </w:rPr>
        <w:t xml:space="preserve">Titolo </w:t>
      </w:r>
      <w:r>
        <w:rPr>
          <w:rFonts w:ascii="Arial" w:hAnsi="Arial" w:cs="Arial"/>
          <w:b/>
          <w:sz w:val="24"/>
          <w:szCs w:val="24"/>
          <w:u w:val="single"/>
        </w:rPr>
        <w:t>IV</w:t>
      </w:r>
      <w:r w:rsidRPr="00BA5194">
        <w:rPr>
          <w:rFonts w:ascii="Arial" w:hAnsi="Arial" w:cs="Arial"/>
          <w:b/>
          <w:sz w:val="24"/>
          <w:szCs w:val="24"/>
          <w:u w:val="single"/>
        </w:rPr>
        <w:t xml:space="preserve"> – </w:t>
      </w:r>
      <w:r w:rsidRPr="000D5F66">
        <w:rPr>
          <w:rFonts w:ascii="Arial" w:hAnsi="Arial" w:cs="Arial"/>
          <w:b/>
          <w:color w:val="FF0000"/>
          <w:sz w:val="24"/>
          <w:szCs w:val="24"/>
          <w:u w:val="single"/>
        </w:rPr>
        <w:t>Disposizioni varie e generali</w:t>
      </w:r>
    </w:p>
    <w:p w:rsidR="00BA5194" w:rsidRDefault="00BA5194" w:rsidP="00BA5194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:rsidR="00943DB8" w:rsidRDefault="00BA5194" w:rsidP="00171806">
      <w:pPr>
        <w:pStyle w:val="Nessunaspaziatur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943DB8">
        <w:rPr>
          <w:rFonts w:ascii="Arial" w:hAnsi="Arial" w:cs="Arial"/>
          <w:b/>
          <w:sz w:val="24"/>
          <w:szCs w:val="24"/>
        </w:rPr>
        <w:t xml:space="preserve">Art. 28 – </w:t>
      </w:r>
      <w:r w:rsidRPr="000D5F66">
        <w:rPr>
          <w:rFonts w:ascii="Arial" w:hAnsi="Arial" w:cs="Arial"/>
          <w:b/>
          <w:color w:val="FF0000"/>
          <w:sz w:val="24"/>
          <w:szCs w:val="24"/>
        </w:rPr>
        <w:t xml:space="preserve">Repressione della condotta antisindacale </w:t>
      </w:r>
      <w:r w:rsidRPr="000D5F66">
        <w:rPr>
          <w:rFonts w:ascii="Arial" w:hAnsi="Arial" w:cs="Arial"/>
          <w:b/>
          <w:color w:val="FF0000"/>
          <w:sz w:val="24"/>
          <w:szCs w:val="24"/>
        </w:rPr>
        <w:sym w:font="Wingdings" w:char="F0E0"/>
      </w:r>
      <w:r w:rsidRPr="000D5F66">
        <w:rPr>
          <w:rFonts w:ascii="Arial" w:hAnsi="Arial" w:cs="Arial"/>
          <w:b/>
          <w:color w:val="FF0000"/>
          <w:sz w:val="24"/>
          <w:szCs w:val="24"/>
        </w:rPr>
        <w:t xml:space="preserve"> in caso di impedimento o limitazione dell’esercizio della libertà e della attività sindacale, nonché del diritto di sciopero, il pretore del luogo ordina al datore di lavoro la cessazione del comportamento illegittimo e la rimozione degli effetti</w:t>
      </w:r>
      <w:r w:rsidR="00943DB8">
        <w:rPr>
          <w:rFonts w:ascii="Arial" w:hAnsi="Arial" w:cs="Arial"/>
          <w:sz w:val="24"/>
          <w:szCs w:val="24"/>
        </w:rPr>
        <w:t xml:space="preserve">; è ammessa opposizione davanti al pretore; </w:t>
      </w:r>
      <w:r w:rsidR="00943DB8" w:rsidRPr="000D5F66">
        <w:rPr>
          <w:rFonts w:ascii="Arial" w:hAnsi="Arial" w:cs="Arial"/>
          <w:b/>
          <w:color w:val="FF0000"/>
          <w:sz w:val="24"/>
          <w:szCs w:val="24"/>
        </w:rPr>
        <w:t>il datore di lavoro che non ottempera è punibile penalmente</w:t>
      </w:r>
      <w:r w:rsidR="00943DB8">
        <w:rPr>
          <w:rFonts w:ascii="Arial" w:hAnsi="Arial" w:cs="Arial"/>
          <w:sz w:val="24"/>
          <w:szCs w:val="24"/>
        </w:rPr>
        <w:t>; in caso di comportamento antisindacale lesivo di situazioni soggettive, le OOSS ricorrono davanti al tribunale amministrativo regionale</w:t>
      </w:r>
    </w:p>
    <w:p w:rsidR="00943DB8" w:rsidRDefault="00943DB8" w:rsidP="00171806">
      <w:pPr>
        <w:pStyle w:val="Nessunaspaziatur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29 – Fusione delle rappresentanze sindacali aziendali</w:t>
      </w:r>
    </w:p>
    <w:p w:rsidR="00943DB8" w:rsidRDefault="00943DB8" w:rsidP="00171806">
      <w:pPr>
        <w:pStyle w:val="Nessunaspaziatur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30 – Permessi per i dirigenti provinciali e nazionali</w:t>
      </w:r>
    </w:p>
    <w:p w:rsidR="00943DB8" w:rsidRDefault="00943DB8" w:rsidP="00171806">
      <w:pPr>
        <w:pStyle w:val="Nessunaspaziatur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Art. 31 – Aspettativa dei lavoratori chiamati a funzioni pubbliche elettive o a ricoprire cariche sindacali provinciali e nazionali </w:t>
      </w:r>
      <w:r w:rsidRPr="00943DB8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non retribuita</w:t>
      </w:r>
    </w:p>
    <w:p w:rsidR="00153B69" w:rsidRDefault="00943DB8" w:rsidP="00153B69">
      <w:pPr>
        <w:pStyle w:val="Nessunaspaziatur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32 – Permessi ai lavoratori chiamati a funzioni pubbliche elettive </w:t>
      </w:r>
      <w:r w:rsidRPr="00943DB8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</w:t>
      </w:r>
      <w:r w:rsidR="006C4971">
        <w:rPr>
          <w:rFonts w:ascii="Arial" w:hAnsi="Arial" w:cs="Arial"/>
          <w:sz w:val="24"/>
          <w:szCs w:val="24"/>
        </w:rPr>
        <w:t xml:space="preserve">in parte </w:t>
      </w:r>
      <w:r>
        <w:rPr>
          <w:rFonts w:ascii="Arial" w:hAnsi="Arial" w:cs="Arial"/>
          <w:sz w:val="24"/>
          <w:szCs w:val="24"/>
        </w:rPr>
        <w:t>retribuit</w:t>
      </w:r>
      <w:r w:rsidR="006C4971">
        <w:rPr>
          <w:rFonts w:ascii="Arial" w:hAnsi="Arial" w:cs="Arial"/>
          <w:sz w:val="24"/>
          <w:szCs w:val="24"/>
        </w:rPr>
        <w:t>i e in parte non (a seconda della motivazione)</w:t>
      </w:r>
    </w:p>
    <w:p w:rsidR="00153B69" w:rsidRDefault="00153B69" w:rsidP="00153B69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:rsidR="003F29ED" w:rsidRDefault="00153B69" w:rsidP="00153B69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153B69">
        <w:rPr>
          <w:rFonts w:ascii="Arial" w:hAnsi="Arial" w:cs="Arial"/>
          <w:sz w:val="24"/>
          <w:szCs w:val="24"/>
        </w:rPr>
        <w:t xml:space="preserve"> </w:t>
      </w:r>
    </w:p>
    <w:p w:rsidR="00153B69" w:rsidRDefault="00153B69" w:rsidP="00153B69">
      <w:pPr>
        <w:pStyle w:val="Nessunaspaziatura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A5194">
        <w:rPr>
          <w:rFonts w:ascii="Arial" w:hAnsi="Arial" w:cs="Arial"/>
          <w:b/>
          <w:sz w:val="24"/>
          <w:szCs w:val="24"/>
          <w:u w:val="single"/>
        </w:rPr>
        <w:t xml:space="preserve">Titolo </w:t>
      </w:r>
      <w:r>
        <w:rPr>
          <w:rFonts w:ascii="Arial" w:hAnsi="Arial" w:cs="Arial"/>
          <w:b/>
          <w:sz w:val="24"/>
          <w:szCs w:val="24"/>
          <w:u w:val="single"/>
        </w:rPr>
        <w:t>V</w:t>
      </w:r>
      <w:r w:rsidRPr="00BA5194">
        <w:rPr>
          <w:rFonts w:ascii="Arial" w:hAnsi="Arial" w:cs="Arial"/>
          <w:b/>
          <w:sz w:val="24"/>
          <w:szCs w:val="24"/>
          <w:u w:val="single"/>
        </w:rPr>
        <w:t xml:space="preserve"> – </w:t>
      </w:r>
      <w:r w:rsidRPr="000D5F66">
        <w:rPr>
          <w:rFonts w:ascii="Arial" w:hAnsi="Arial" w:cs="Arial"/>
          <w:b/>
          <w:color w:val="FF0000"/>
          <w:sz w:val="24"/>
          <w:szCs w:val="24"/>
          <w:u w:val="single"/>
        </w:rPr>
        <w:t>Norme sul collocamento</w:t>
      </w:r>
    </w:p>
    <w:p w:rsidR="00153B69" w:rsidRDefault="00153B69" w:rsidP="00153B69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:rsidR="00153B69" w:rsidRDefault="00153B69" w:rsidP="00802E28">
      <w:pPr>
        <w:pStyle w:val="Nessunaspaziatur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33 </w:t>
      </w:r>
      <w:r w:rsidR="00E350C4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Collocamento</w:t>
      </w:r>
    </w:p>
    <w:p w:rsidR="00E350C4" w:rsidRDefault="00E350C4" w:rsidP="00802E28">
      <w:pPr>
        <w:pStyle w:val="Nessunaspaziatur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34 – Richieste nominative di manodopera</w:t>
      </w:r>
    </w:p>
    <w:p w:rsidR="00E350C4" w:rsidRDefault="00E350C4" w:rsidP="00153B69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:rsidR="00E350C4" w:rsidRDefault="00E350C4" w:rsidP="00153B69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:rsidR="00E350C4" w:rsidRPr="00153B69" w:rsidRDefault="00E350C4" w:rsidP="00153B69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:rsidR="00E350C4" w:rsidRPr="000D5F66" w:rsidRDefault="00E350C4" w:rsidP="00E350C4">
      <w:pPr>
        <w:pStyle w:val="Nessunaspaziatura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BA5194">
        <w:rPr>
          <w:rFonts w:ascii="Arial" w:hAnsi="Arial" w:cs="Arial"/>
          <w:b/>
          <w:sz w:val="24"/>
          <w:szCs w:val="24"/>
          <w:u w:val="single"/>
        </w:rPr>
        <w:t xml:space="preserve">Titolo </w:t>
      </w:r>
      <w:r>
        <w:rPr>
          <w:rFonts w:ascii="Arial" w:hAnsi="Arial" w:cs="Arial"/>
          <w:b/>
          <w:sz w:val="24"/>
          <w:szCs w:val="24"/>
          <w:u w:val="single"/>
        </w:rPr>
        <w:t>VI</w:t>
      </w:r>
      <w:r w:rsidRPr="00BA5194">
        <w:rPr>
          <w:rFonts w:ascii="Arial" w:hAnsi="Arial" w:cs="Arial"/>
          <w:b/>
          <w:sz w:val="24"/>
          <w:szCs w:val="24"/>
          <w:u w:val="single"/>
        </w:rPr>
        <w:t xml:space="preserve"> – </w:t>
      </w:r>
      <w:r w:rsidR="00A75B15" w:rsidRPr="000D5F66">
        <w:rPr>
          <w:rFonts w:ascii="Arial" w:hAnsi="Arial" w:cs="Arial"/>
          <w:b/>
          <w:color w:val="FF0000"/>
          <w:sz w:val="24"/>
          <w:szCs w:val="24"/>
          <w:u w:val="single"/>
        </w:rPr>
        <w:t>Disposizioni finali e penali</w:t>
      </w:r>
    </w:p>
    <w:p w:rsidR="00347064" w:rsidRDefault="00347064" w:rsidP="00E350C4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:rsidR="00A75B15" w:rsidRPr="00A75B15" w:rsidRDefault="00A75B15" w:rsidP="00347064">
      <w:pPr>
        <w:pStyle w:val="Nessunaspaziatur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347064">
        <w:rPr>
          <w:rFonts w:ascii="Arial" w:hAnsi="Arial" w:cs="Arial"/>
          <w:b/>
          <w:sz w:val="24"/>
          <w:szCs w:val="24"/>
        </w:rPr>
        <w:t xml:space="preserve">Art. 35 – </w:t>
      </w:r>
      <w:r w:rsidRPr="000D5F66">
        <w:rPr>
          <w:rFonts w:ascii="Arial" w:hAnsi="Arial" w:cs="Arial"/>
          <w:b/>
          <w:color w:val="FF0000"/>
          <w:sz w:val="24"/>
          <w:szCs w:val="24"/>
        </w:rPr>
        <w:t>Campo di applicazione</w:t>
      </w:r>
      <w:r>
        <w:rPr>
          <w:rFonts w:ascii="Arial" w:hAnsi="Arial" w:cs="Arial"/>
          <w:sz w:val="24"/>
          <w:szCs w:val="24"/>
        </w:rPr>
        <w:t xml:space="preserve"> </w:t>
      </w:r>
      <w:r w:rsidRPr="00A75B15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per le </w:t>
      </w:r>
      <w:r w:rsidRPr="000D5F66">
        <w:rPr>
          <w:rFonts w:ascii="Arial" w:hAnsi="Arial" w:cs="Arial"/>
          <w:b/>
          <w:color w:val="FF0000"/>
          <w:sz w:val="24"/>
          <w:szCs w:val="24"/>
        </w:rPr>
        <w:t>imprese industr</w:t>
      </w:r>
      <w:r w:rsidR="00347064" w:rsidRPr="000D5F66">
        <w:rPr>
          <w:rFonts w:ascii="Arial" w:hAnsi="Arial" w:cs="Arial"/>
          <w:b/>
          <w:color w:val="FF0000"/>
          <w:sz w:val="24"/>
          <w:szCs w:val="24"/>
        </w:rPr>
        <w:t>i</w:t>
      </w:r>
      <w:r w:rsidRPr="000D5F66">
        <w:rPr>
          <w:rFonts w:ascii="Arial" w:hAnsi="Arial" w:cs="Arial"/>
          <w:b/>
          <w:color w:val="FF0000"/>
          <w:sz w:val="24"/>
          <w:szCs w:val="24"/>
        </w:rPr>
        <w:t>ali e commerciali</w:t>
      </w:r>
      <w:r>
        <w:rPr>
          <w:rFonts w:ascii="Arial" w:hAnsi="Arial" w:cs="Arial"/>
          <w:sz w:val="24"/>
          <w:szCs w:val="24"/>
        </w:rPr>
        <w:t xml:space="preserve">, le disposizioni del titolo III, ad eccezione del primo comma dell’art. 27, si applicano a ciascuna </w:t>
      </w:r>
      <w:r w:rsidR="00347064">
        <w:rPr>
          <w:rFonts w:ascii="Arial" w:hAnsi="Arial" w:cs="Arial"/>
          <w:sz w:val="24"/>
          <w:szCs w:val="24"/>
        </w:rPr>
        <w:t xml:space="preserve">sede, stabilimento, filiale, ufficio o reparto autonomo che occupa </w:t>
      </w:r>
      <w:r w:rsidR="00347064" w:rsidRPr="000D5F66">
        <w:rPr>
          <w:rFonts w:ascii="Arial" w:hAnsi="Arial" w:cs="Arial"/>
          <w:b/>
          <w:color w:val="FF0000"/>
          <w:sz w:val="24"/>
          <w:szCs w:val="24"/>
        </w:rPr>
        <w:t>più di 15 dipendenti</w:t>
      </w:r>
      <w:r w:rsidR="00347064">
        <w:rPr>
          <w:rFonts w:ascii="Arial" w:hAnsi="Arial" w:cs="Arial"/>
          <w:sz w:val="24"/>
          <w:szCs w:val="24"/>
        </w:rPr>
        <w:t xml:space="preserve"> (altresì nell’ambito dello stesso comune, anche se in unità produttive separate)</w:t>
      </w:r>
    </w:p>
    <w:p w:rsidR="00153B69" w:rsidRDefault="00347064" w:rsidP="00347064">
      <w:pPr>
        <w:pStyle w:val="Nessunaspaziatur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36 – Obblighi dei titolari di benefici accordati dallo Stato e degli appaltatori di opere pubbliche</w:t>
      </w:r>
    </w:p>
    <w:p w:rsidR="00347064" w:rsidRDefault="00347064" w:rsidP="00347064">
      <w:pPr>
        <w:pStyle w:val="Nessunaspaziatur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37 – Applicazione ai dipendenti da enti pubblici</w:t>
      </w:r>
    </w:p>
    <w:p w:rsidR="00347064" w:rsidRDefault="00347064" w:rsidP="00347064">
      <w:pPr>
        <w:pStyle w:val="Nessunaspaziatur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38 – Disposizioni penali</w:t>
      </w:r>
    </w:p>
    <w:p w:rsidR="00347064" w:rsidRDefault="00347064" w:rsidP="00347064">
      <w:pPr>
        <w:pStyle w:val="Nessunaspaziatur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39 – Versamento delle ammende al Fondo adeguamento pensioni</w:t>
      </w:r>
    </w:p>
    <w:p w:rsidR="00347064" w:rsidRPr="000D5F66" w:rsidRDefault="00347064" w:rsidP="00347064">
      <w:pPr>
        <w:pStyle w:val="Nessunaspaziatura"/>
        <w:numPr>
          <w:ilvl w:val="0"/>
          <w:numId w:val="12"/>
        </w:numPr>
        <w:jc w:val="both"/>
        <w:rPr>
          <w:rFonts w:ascii="Arial" w:hAnsi="Arial" w:cs="Arial"/>
          <w:color w:val="FF0000"/>
          <w:sz w:val="24"/>
          <w:szCs w:val="24"/>
        </w:rPr>
      </w:pPr>
      <w:r w:rsidRPr="00347064">
        <w:rPr>
          <w:rFonts w:ascii="Arial" w:hAnsi="Arial" w:cs="Arial"/>
          <w:b/>
          <w:sz w:val="24"/>
          <w:szCs w:val="24"/>
        </w:rPr>
        <w:t xml:space="preserve">Art. 40 – </w:t>
      </w:r>
      <w:r w:rsidRPr="000D5F66">
        <w:rPr>
          <w:rFonts w:ascii="Arial" w:hAnsi="Arial" w:cs="Arial"/>
          <w:b/>
          <w:color w:val="FF0000"/>
          <w:sz w:val="24"/>
          <w:szCs w:val="24"/>
        </w:rPr>
        <w:t xml:space="preserve">Abrogazione delle disposizioni contrastanti </w:t>
      </w:r>
      <w:r w:rsidRPr="000D5F66">
        <w:rPr>
          <w:rFonts w:ascii="Arial" w:hAnsi="Arial" w:cs="Arial"/>
          <w:b/>
          <w:color w:val="FF0000"/>
          <w:sz w:val="24"/>
          <w:szCs w:val="24"/>
        </w:rPr>
        <w:sym w:font="Wingdings" w:char="F0E0"/>
      </w:r>
      <w:r w:rsidRPr="000D5F66">
        <w:rPr>
          <w:rFonts w:ascii="Arial" w:hAnsi="Arial" w:cs="Arial"/>
          <w:b/>
          <w:color w:val="FF0000"/>
          <w:sz w:val="24"/>
          <w:szCs w:val="24"/>
        </w:rPr>
        <w:t xml:space="preserve"> ogni disposizione in contrasto</w:t>
      </w:r>
      <w:r w:rsidRPr="000D5F66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 le norme contenute nella presente legge </w:t>
      </w:r>
      <w:r w:rsidRPr="000D5F66">
        <w:rPr>
          <w:rFonts w:ascii="Arial" w:hAnsi="Arial" w:cs="Arial"/>
          <w:b/>
          <w:color w:val="FF0000"/>
          <w:sz w:val="24"/>
          <w:szCs w:val="24"/>
        </w:rPr>
        <w:t>è abrogata</w:t>
      </w:r>
      <w:r>
        <w:rPr>
          <w:rFonts w:ascii="Arial" w:hAnsi="Arial" w:cs="Arial"/>
          <w:sz w:val="24"/>
          <w:szCs w:val="24"/>
        </w:rPr>
        <w:t xml:space="preserve">; restano </w:t>
      </w:r>
      <w:r w:rsidRPr="000D5F66">
        <w:rPr>
          <w:rFonts w:ascii="Arial" w:hAnsi="Arial" w:cs="Arial"/>
          <w:b/>
          <w:color w:val="FF0000"/>
          <w:sz w:val="24"/>
          <w:szCs w:val="24"/>
        </w:rPr>
        <w:t>salve le condizioni</w:t>
      </w:r>
      <w:r w:rsidRPr="0034706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dei contratti collettivi e degli accordi sindacali </w:t>
      </w:r>
      <w:r w:rsidRPr="000D5F66">
        <w:rPr>
          <w:rFonts w:ascii="Arial" w:hAnsi="Arial" w:cs="Arial"/>
          <w:b/>
          <w:color w:val="FF0000"/>
          <w:sz w:val="24"/>
          <w:szCs w:val="24"/>
        </w:rPr>
        <w:t>più favorevoli ai lavoratori</w:t>
      </w:r>
    </w:p>
    <w:p w:rsidR="00347064" w:rsidRDefault="00347064" w:rsidP="00347064">
      <w:pPr>
        <w:pStyle w:val="Nessunaspaziatur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41 – Esenzioni fiscali</w:t>
      </w:r>
    </w:p>
    <w:p w:rsidR="00347064" w:rsidRDefault="00347064" w:rsidP="00153B69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:rsidR="00347064" w:rsidRPr="00153B69" w:rsidRDefault="00347064" w:rsidP="00153B69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sectPr w:rsidR="00347064" w:rsidRPr="00153B69" w:rsidSect="005F6F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7"/>
      </v:shape>
    </w:pict>
  </w:numPicBullet>
  <w:abstractNum w:abstractNumId="0">
    <w:nsid w:val="054722DE"/>
    <w:multiLevelType w:val="hybridMultilevel"/>
    <w:tmpl w:val="909C15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01F45"/>
    <w:multiLevelType w:val="hybridMultilevel"/>
    <w:tmpl w:val="91DAE8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A7A6A"/>
    <w:multiLevelType w:val="hybridMultilevel"/>
    <w:tmpl w:val="172077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F37EA4"/>
    <w:multiLevelType w:val="hybridMultilevel"/>
    <w:tmpl w:val="535089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541EAE"/>
    <w:multiLevelType w:val="hybridMultilevel"/>
    <w:tmpl w:val="6310EE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9E792E"/>
    <w:multiLevelType w:val="hybridMultilevel"/>
    <w:tmpl w:val="6810B21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AD1D75"/>
    <w:multiLevelType w:val="hybridMultilevel"/>
    <w:tmpl w:val="A4D648C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0F5C62"/>
    <w:multiLevelType w:val="hybridMultilevel"/>
    <w:tmpl w:val="E24C3F8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1119CB"/>
    <w:multiLevelType w:val="hybridMultilevel"/>
    <w:tmpl w:val="68F2758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4318FF"/>
    <w:multiLevelType w:val="hybridMultilevel"/>
    <w:tmpl w:val="3CE695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9B3F95"/>
    <w:multiLevelType w:val="hybridMultilevel"/>
    <w:tmpl w:val="BB5EB14A"/>
    <w:lvl w:ilvl="0" w:tplc="FF38B68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76B4368A"/>
    <w:multiLevelType w:val="hybridMultilevel"/>
    <w:tmpl w:val="347852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7"/>
  </w:num>
  <w:num w:numId="5">
    <w:abstractNumId w:val="9"/>
  </w:num>
  <w:num w:numId="6">
    <w:abstractNumId w:val="8"/>
  </w:num>
  <w:num w:numId="7">
    <w:abstractNumId w:val="6"/>
  </w:num>
  <w:num w:numId="8">
    <w:abstractNumId w:val="0"/>
  </w:num>
  <w:num w:numId="9">
    <w:abstractNumId w:val="10"/>
  </w:num>
  <w:num w:numId="10">
    <w:abstractNumId w:val="4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45D"/>
    <w:rsid w:val="000D5F66"/>
    <w:rsid w:val="00153B69"/>
    <w:rsid w:val="00171806"/>
    <w:rsid w:val="001A445D"/>
    <w:rsid w:val="00290584"/>
    <w:rsid w:val="00347064"/>
    <w:rsid w:val="003F29ED"/>
    <w:rsid w:val="005A634E"/>
    <w:rsid w:val="005F6FA0"/>
    <w:rsid w:val="005F7025"/>
    <w:rsid w:val="006C1DFC"/>
    <w:rsid w:val="006C4971"/>
    <w:rsid w:val="00774BE6"/>
    <w:rsid w:val="00802E28"/>
    <w:rsid w:val="00832E2F"/>
    <w:rsid w:val="00943DB8"/>
    <w:rsid w:val="0094775E"/>
    <w:rsid w:val="0099453F"/>
    <w:rsid w:val="00A15D36"/>
    <w:rsid w:val="00A75B15"/>
    <w:rsid w:val="00AA155C"/>
    <w:rsid w:val="00BA5194"/>
    <w:rsid w:val="00CF034F"/>
    <w:rsid w:val="00D3194C"/>
    <w:rsid w:val="00E16BB6"/>
    <w:rsid w:val="00E3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1A445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1A44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Daniela Untolini Bocci</cp:lastModifiedBy>
  <cp:revision>2</cp:revision>
  <dcterms:created xsi:type="dcterms:W3CDTF">2018-03-18T14:32:00Z</dcterms:created>
  <dcterms:modified xsi:type="dcterms:W3CDTF">2018-03-18T14:32:00Z</dcterms:modified>
</cp:coreProperties>
</file>